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40"/>
        <w:gridCol w:w="1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Akuntansi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Manajemen Administratif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/>
              </w:rPr>
              <w:t>FEK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SKS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asal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Pengampu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Yudit Ayu Respati, S.E., M.Si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Mata Kuliah</w:t>
            </w: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spacing w:beforeLines="0" w:after="0" w:afterLines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/>
                <w:sz w:val="24"/>
                <w:lang w:eastAsia="id-ID"/>
              </w:rPr>
              <w:t>Mata kuliah ini membahas kedudukan kantor dalam administrasi baik secara etimologis,</w:t>
            </w:r>
            <w:r>
              <w:rPr>
                <w:rFonts w:hint="default" w:ascii="Times New Roman"/>
                <w:sz w:val="24"/>
                <w:lang w:val="en-US" w:eastAsia="id-ID"/>
              </w:rPr>
              <w:t xml:space="preserve"> </w:t>
            </w:r>
            <w:r>
              <w:rPr>
                <w:rFonts w:hint="default" w:ascii="Times New Roman"/>
                <w:sz w:val="24"/>
                <w:lang w:eastAsia="id-ID"/>
              </w:rPr>
              <w:t>keseluruhan proses, institusi dan organisasi, membahas konsep kantor dan pekerjaan kantor,</w:t>
            </w:r>
            <w:r>
              <w:rPr>
                <w:rFonts w:hint="default" w:ascii="Times New Roman"/>
                <w:sz w:val="24"/>
                <w:lang w:val="en-US" w:eastAsia="id-ID"/>
              </w:rPr>
              <w:t xml:space="preserve"> </w:t>
            </w:r>
            <w:r>
              <w:rPr>
                <w:rFonts w:hint="default" w:ascii="Times New Roman"/>
                <w:sz w:val="24"/>
                <w:lang w:eastAsia="id-ID"/>
              </w:rPr>
              <w:t>s</w:t>
            </w:r>
            <w:r>
              <w:rPr>
                <w:rFonts w:hint="default" w:ascii="Times New Roman"/>
                <w:sz w:val="24"/>
                <w:lang w:val="en-US" w:eastAsia="id-ID"/>
              </w:rPr>
              <w:t>i</w:t>
            </w:r>
            <w:r>
              <w:rPr>
                <w:rFonts w:hint="default" w:ascii="Times New Roman"/>
                <w:sz w:val="24"/>
                <w:lang w:eastAsia="id-ID"/>
              </w:rPr>
              <w:t>stem, prosedur dan penyempurnaan tata kerja, lingkungan kantor, perabotan dan peralatan,</w:t>
            </w:r>
            <w:r>
              <w:rPr>
                <w:rFonts w:hint="default" w:ascii="Times New Roman"/>
                <w:sz w:val="24"/>
                <w:lang w:val="en-US" w:eastAsia="id-ID"/>
              </w:rPr>
              <w:t xml:space="preserve"> p</w:t>
            </w:r>
            <w:r>
              <w:rPr>
                <w:rFonts w:hint="default" w:ascii="Times New Roman"/>
                <w:sz w:val="24"/>
                <w:lang w:eastAsia="id-ID"/>
              </w:rPr>
              <w:t>egawai kantor sejak seleksi, penempatan, supervise, motivasi, kompensasi, pengembangan,</w:t>
            </w:r>
            <w:r>
              <w:rPr>
                <w:rFonts w:hint="default" w:ascii="Times New Roman"/>
                <w:sz w:val="24"/>
                <w:lang w:val="en-US" w:eastAsia="id-ID"/>
              </w:rPr>
              <w:t xml:space="preserve"> </w:t>
            </w:r>
            <w:r>
              <w:rPr>
                <w:rFonts w:hint="default" w:ascii="Times New Roman"/>
                <w:sz w:val="24"/>
                <w:lang w:eastAsia="id-ID"/>
              </w:rPr>
              <w:t>pengukuran produktivitas, penyusunan dan pengendalian formulir, pengendalian kualitas dan</w:t>
            </w:r>
            <w:r>
              <w:rPr>
                <w:rFonts w:hint="default" w:ascii="Times New Roman"/>
                <w:sz w:val="24"/>
                <w:lang w:val="en-US" w:eastAsia="id-ID"/>
              </w:rPr>
              <w:t xml:space="preserve"> </w:t>
            </w:r>
            <w:r>
              <w:rPr>
                <w:rFonts w:hint="default" w:ascii="Times New Roman"/>
                <w:sz w:val="24"/>
                <w:lang w:eastAsia="id-ID"/>
              </w:rPr>
              <w:t>kuantitas kerja serta pengendalian anggaran dan biaya kantor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3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CP-MK</w:t>
            </w:r>
          </w:p>
        </w:tc>
        <w:tc>
          <w:tcPr>
            <w:tcW w:w="2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9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Mampu memahami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kedudukan kantor dalam administrasi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Mampu menganalisa sistem, proses, dan prosedur kantor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Mampu memahami karakteristik dan kriteria calon pegawai kantor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Memiliki kompetensi dalam komunikasi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perkantoran 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Mampu menganalisis pekerjaan pegawai kantor dan tata ruang kantor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Mampu merencanakan gaji dan reward untuk pegawai kantor 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45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2113"/>
        <w:gridCol w:w="1714"/>
        <w:gridCol w:w="2434"/>
        <w:gridCol w:w="1438"/>
        <w:gridCol w:w="1514"/>
        <w:gridCol w:w="1276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Ke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27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(Kemampuan akhir yang diharapkan)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13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Kajian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14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Model/Metode Pembelajaran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434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38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Penilaian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14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276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92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992" w:type="dxa"/>
            <w:shd w:val="clear" w:color="auto" w:fill="DEEBF6" w:themeFill="accent1" w:themeFillTint="3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 rencana pembelajaran mata kul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iah manajemen administratif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hubungannya dengan mata kuliah lain</w:t>
            </w: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Penjelasan Silabus dan Kontrak Kuliah</w:t>
            </w:r>
          </w:p>
          <w:p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Overview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manajemen administratif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Ceramah dan diskusi</w:t>
            </w:r>
          </w:p>
        </w:tc>
        <w:tc>
          <w:tcPr>
            <w:tcW w:w="2434" w:type="dxa"/>
          </w:tcPr>
          <w:p>
            <w:pPr>
              <w:widowControl w:val="0"/>
              <w:numPr>
                <w:ilvl w:val="0"/>
                <w:numId w:val="3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mendapatkan informasi mengenai overview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man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ajemen administratif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belajar meganalisa keterkaitan antara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manajemen administratif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matakuliah lain dan mengkomunikasinnya dalam diskusi kelas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belajar etika berdiskusi</w:t>
            </w:r>
          </w:p>
        </w:tc>
        <w:tc>
          <w:tcPr>
            <w:tcW w:w="1438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Kehadiran dan pertisipasi mahasiswa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Ketepatan dan kebenaran dalam menjelaskan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 pertisipasi mahasiswa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Perilaku saat berdiskusi</w:t>
            </w:r>
          </w:p>
        </w:tc>
        <w:tc>
          <w:tcPr>
            <w:tcW w:w="15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Pengamatan proses diskusi dan 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425"/>
                <w:tab w:val="left" w:pos="567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memahami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menjelaskan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konsep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administrasi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Konsep administrasi dari sisi etimologi, proses, dan institusi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Perkembangan administrasi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Cara pandang administrasi dan manajemen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Pengamatan proses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diskusi dan pembelajaran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mampu me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nyimpulkan kedudukan kantor dalam organisasi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7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Kedudukan kantor dalam organisasi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Struktur organisasi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Pentingnya koordinasi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Perbedaan struktur organisasi di kantor pemerintahan, perusahaan swasta, dan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virtual office (start up digital)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Diskusi kelompok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Mahasiswa belajar untuk mencari informasi mengenai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>organisasi dan perkantoran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>serta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mendiskusikannya dikelas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Pengamatan proses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diskusi dan pembelajaran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Administrasi Perkantoran Modern Ch 4: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Liang Gie</w:t>
            </w: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memahami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konsep dan ruang lingkup Administrasi Perkantoran</w:t>
            </w:r>
          </w:p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Konsep dan ruang lingkup administrasi perkantoran yang meliputi manajemen, komunikasi, organisasi, perbekalan, ketatausahaan, kepegawaian, keuangan, humas dan perkembangan otomatisasinya.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Mahasiswa belajar untuk mencari informasi mengenai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>konsep dan ruang lingkup administrasi perkantoran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>serta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mendiskusikannya dikelas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Pengamatan proses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diskusi dan pembelajaran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tabs>
                <w:tab w:val="left" w:pos="200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mampu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ganalisis pekerjaan kantor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8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Jenis-jenis pekerjaan kantor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Permasalahan atau konflik yang terjadi dalam pelaksanaan pekerjaan kantor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Mahasiswa belajar menganalisa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>pekerjaan kantor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resume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Administrasi Perkantoran Modern Ch 2: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Liang Gie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ampu memahami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sistem dan prosedur dalam perkantoran</w:t>
            </w: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9"/>
              </w:numPr>
              <w:tabs>
                <w:tab w:val="left" w:pos="200"/>
                <w:tab w:val="clear" w:pos="425"/>
              </w:tabs>
              <w:spacing w:after="0" w:line="240" w:lineRule="auto"/>
              <w:ind w:left="200" w:leftChars="0" w:hanging="200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Sistem perkantoran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200"/>
                <w:tab w:val="clear" w:pos="425"/>
              </w:tabs>
              <w:spacing w:after="0" w:line="240" w:lineRule="auto"/>
              <w:ind w:left="200" w:leftChars="0" w:hanging="200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Prosedur dalam perkantoran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Diskusi kelompok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 xml:space="preserve">mendapat informasi tentang sistem dan prosedur dalam perkantoran serta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mendiskusikannya di dalam 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belajar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mendemonstrasikan materi yang dipelajari dalam bentuk produk atau kinerja.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resume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Administrative Office Management Ch 17: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Norman F. Kallaus dan B. Lewis Keeling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memahami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karakteristik dan kriteria pegawai kantor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10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Karakteristik dan kriteria calon pegawai kantor yang ideal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Proses rekruitmen dan seleksi pegawai kantor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Analisis pekerjaan pegawai kantor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Merencanakan gaji dan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reward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untuk pegawai kantor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Mahasiswa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 xml:space="preserve">mendapat informasi tentang pegawai kantor dan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mengkomunikasikannya melalui diskusi kelas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Administrative Office Management: Odgers; Zane K. Quible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memahami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 melakukan komunikasi dalam organisasi</w:t>
            </w:r>
          </w:p>
        </w:tc>
        <w:tc>
          <w:tcPr>
            <w:tcW w:w="2113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Komunikasi Perkantoran:</w:t>
            </w:r>
          </w:p>
          <w:p>
            <w:pPr>
              <w:pStyle w:val="5"/>
              <w:widowControl w:val="0"/>
              <w:numPr>
                <w:ilvl w:val="0"/>
                <w:numId w:val="11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Jenis, alat, dan media komunikasi yang digunakan untuk melakukan pekerjaan kantor </w:t>
            </w:r>
          </w:p>
          <w:p>
            <w:pPr>
              <w:pStyle w:val="5"/>
              <w:widowControl w:val="0"/>
              <w:numPr>
                <w:ilvl w:val="0"/>
                <w:numId w:val="11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Pentingnya komunikasi sebagai cara penyampaian informasi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Mahasiswa belajar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 xml:space="preserve"> mengenai komunikasi dalam organisasi dan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mengkomunikasikannya dalam diskusi kelas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Pengamatan proses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diskusi dan </w:t>
            </w:r>
            <w:r>
              <w:rPr>
                <w:rFonts w:ascii="Times New Roman" w:hAnsi="Times New Roman"/>
                <w:sz w:val="22"/>
                <w:szCs w:val="22"/>
              </w:rPr>
              <w:t>presentasi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Administrasi Perkantoran Modern Ch 5: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Liang Gie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edakan desain ruang kantor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12"/>
              </w:numPr>
              <w:tabs>
                <w:tab w:val="left" w:pos="400"/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Macam-macam desain ruang kantor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400"/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Dampak desain ruang kantor terhadap penyebaran informasi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400"/>
                <w:tab w:val="clear" w:pos="425"/>
              </w:tabs>
              <w:spacing w:after="0" w:line="240" w:lineRule="auto"/>
              <w:ind w:left="425" w:leftChars="0" w:hanging="42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nsep dasar penerangan, suhu udara, pemilihan furnitur dan warna dekorasi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Mahasiswa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belajar menentukan desain ruang kantor dan mendiskusikannya di dalam 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mahasiswa mendemonstrasikan materi 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Administrative Office Management Ch 4: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Norman F. Kallaus dan B. Lewis Keeling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Dan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Administrasi Perkantoran Modern Ch 11: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Liang Gie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mampu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memahami perlengkapan perkantoran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13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Pembekalan Tata Usaha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Mesin perkantoran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Mahasiswa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belajar tentang perlengkapan kantor dan mendiskusikannya di dalam 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ahasiswa mendemonstrasikan materi yang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didiskusikan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dalam bentuk produk atau kinerja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atau kinerja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Administrasi Perkantoran Modern Ch 12: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Liang Gie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mampu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memahami studi perkantoran (Ilmu Administrasi Perkantoran)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tabs>
                <w:tab w:val="left" w:pos="42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1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Perkembangan ilmu administrasi perkantoran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Pengajaran Perkantoran di Amerika Serikat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00"/>
                <w:tab w:val="clear" w:pos="425"/>
              </w:tabs>
              <w:spacing w:after="0" w:line="240" w:lineRule="auto"/>
              <w:ind w:left="205" w:leftChars="0" w:hanging="205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Perkantoran di Inggris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Mahasiswa mendapatkan informasi dari suatu masalah yang harus dipecahkan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Mahasiswa belajar tentang Ilmu Administrasi Perkantoran dan mendiskusikannya di dalam kelas</w:t>
            </w:r>
          </w:p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ahasiswa mendemonstrasikan materi yang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didiskusikan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dalam bentuk produk atau kinerja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atau kinerja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Pengamatan proses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diskusi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Administrasi Perkantoran Modern Ch 13: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Liang Gie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mampu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memberikan pendapat dan menangani kasus yang berkaitan dengan administrasi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tabs>
                <w:tab w:val="left" w:pos="42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0"/>
              </w:tabs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Studi kasus administrasi</w:t>
            </w:r>
          </w:p>
        </w:tc>
        <w:tc>
          <w:tcPr>
            <w:tcW w:w="171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Keompok  dan Problem based learning</w:t>
            </w:r>
          </w:p>
        </w:tc>
        <w:tc>
          <w:tcPr>
            <w:tcW w:w="2434" w:type="dxa"/>
          </w:tcPr>
          <w:p>
            <w:pPr>
              <w:pStyle w:val="5"/>
              <w:widowControl w:val="0"/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Mahasiswa membentuk kelompok untuk bersama-sama menyelesaikan studi kasus mengenai masalah yang brkaitan dengan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administrasi</w:t>
            </w:r>
          </w:p>
        </w:tc>
        <w:tc>
          <w:tcPr>
            <w:tcW w:w="1438" w:type="dxa"/>
          </w:tcPr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  <w:p>
            <w:pPr>
              <w:widowControl w:val="0"/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</w:p>
        </w:tc>
        <w:tc>
          <w:tcPr>
            <w:tcW w:w="1514" w:type="dxa"/>
          </w:tcPr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Pengamatan proses presentasi</w:t>
            </w:r>
          </w:p>
          <w:p>
            <w:pPr>
              <w:pStyle w:val="5"/>
              <w:widowControl w:val="0"/>
              <w:numPr>
                <w:ilvl w:val="0"/>
                <w:numId w:val="6"/>
              </w:numPr>
              <w:tabs>
                <w:tab w:val="left" w:pos="334"/>
              </w:tabs>
              <w:spacing w:after="0" w:line="240" w:lineRule="auto"/>
              <w:ind w:left="334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Penilaian keaktifan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dan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8" w:type="dxa"/>
            <w:gridSpan w:val="8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AKHIR SEMESTER</w:t>
            </w: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Penetapan Nilai Akhir :</w:t>
      </w:r>
    </w:p>
    <w:tbl>
      <w:tblPr>
        <w:tblStyle w:val="4"/>
        <w:tblW w:w="527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255"/>
        <w:gridCol w:w="1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Sikap, partisipasi dan kehadiran</w:t>
            </w:r>
          </w:p>
        </w:tc>
        <w:tc>
          <w:tcPr>
            <w:tcW w:w="1380" w:type="dxa"/>
          </w:tcPr>
          <w:p>
            <w:pPr>
              <w:widowControl w:val="0"/>
              <w:tabs>
                <w:tab w:val="left" w:pos="1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dan Pres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ntasi</w:t>
            </w:r>
          </w:p>
        </w:tc>
        <w:tc>
          <w:tcPr>
            <w:tcW w:w="138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Tugas/Kuis/Studi Kasus</w:t>
            </w:r>
          </w:p>
        </w:tc>
        <w:tc>
          <w:tcPr>
            <w:tcW w:w="138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</w:p>
    <w:p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Liang Gie</w:t>
      </w:r>
      <w:r>
        <w:rPr>
          <w:rFonts w:hint="default" w:ascii="Times New Roman" w:hAnsi="Times New Roman" w:cs="Times New Roman"/>
          <w:sz w:val="24"/>
          <w:szCs w:val="24"/>
        </w:rPr>
        <w:t>. 201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Administrasi Perkantoran Modern</w:t>
      </w:r>
      <w:r>
        <w:rPr>
          <w:rFonts w:hint="default" w:ascii="Times New Roman" w:hAnsi="Times New Roman" w:cs="Times New Roman"/>
          <w:sz w:val="24"/>
          <w:szCs w:val="24"/>
        </w:rPr>
        <w:t xml:space="preserve"> Edisi Keempat.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Yogyakarta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Liberty Yogyakarta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16"/>
        </w:numPr>
        <w:tabs>
          <w:tab w:val="clear" w:pos="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</w:t>
      </w:r>
    </w:p>
    <w:p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ilmiah terindeks jurnal nasional dan internasional</w:t>
      </w:r>
    </w:p>
    <w:p/>
    <w:p/>
    <w:p/>
    <w:p/>
    <w:sectPr>
      <w:pgSz w:w="16839" w:h="11907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645E5"/>
    <w:multiLevelType w:val="singleLevel"/>
    <w:tmpl w:val="8D0645E5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C1FCEEBC"/>
    <w:multiLevelType w:val="singleLevel"/>
    <w:tmpl w:val="C1FCEEBC"/>
    <w:lvl w:ilvl="0" w:tentative="0">
      <w:start w:val="2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C4C71E1C"/>
    <w:multiLevelType w:val="singleLevel"/>
    <w:tmpl w:val="C4C71E1C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C7119D3E"/>
    <w:multiLevelType w:val="singleLevel"/>
    <w:tmpl w:val="C7119D3E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CBD47477"/>
    <w:multiLevelType w:val="singleLevel"/>
    <w:tmpl w:val="CBD4747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CF3D3B1C"/>
    <w:multiLevelType w:val="singleLevel"/>
    <w:tmpl w:val="CF3D3B1C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D40179B9"/>
    <w:multiLevelType w:val="singleLevel"/>
    <w:tmpl w:val="D40179B9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EA6F7809"/>
    <w:multiLevelType w:val="singleLevel"/>
    <w:tmpl w:val="EA6F7809"/>
    <w:lvl w:ilvl="0" w:tentative="0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FC9DA7D1"/>
    <w:multiLevelType w:val="singleLevel"/>
    <w:tmpl w:val="FC9DA7D1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0048260F"/>
    <w:multiLevelType w:val="singleLevel"/>
    <w:tmpl w:val="0048260F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0E0C5FD5"/>
    <w:multiLevelType w:val="singleLevel"/>
    <w:tmpl w:val="0E0C5FD5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26E593DB"/>
    <w:multiLevelType w:val="singleLevel"/>
    <w:tmpl w:val="26E593DB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30BD01BB"/>
    <w:multiLevelType w:val="multilevel"/>
    <w:tmpl w:val="30BD01B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1E1362E"/>
    <w:multiLevelType w:val="multilevel"/>
    <w:tmpl w:val="31E1362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4D9195C"/>
    <w:multiLevelType w:val="singleLevel"/>
    <w:tmpl w:val="54D9195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7073E8C4"/>
    <w:multiLevelType w:val="singleLevel"/>
    <w:tmpl w:val="7073E8C4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4A3F"/>
    <w:rsid w:val="0ED079C9"/>
    <w:rsid w:val="19534711"/>
    <w:rsid w:val="2FE76AD4"/>
    <w:rsid w:val="3D5D282F"/>
    <w:rsid w:val="656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2019-09-01T08:06:00Z</dcterms:created>
  <dc:creator>Yudit Ayu</dc:creator>
  <cp:lastModifiedBy>Yudit Ayu</cp:lastModifiedBy>
  <dcterms:modified xsi:type="dcterms:W3CDTF">2019-09-03T03:40:30Z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